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F54" w:rsidRDefault="00BB1BB1" w:rsidP="00BB1BB1">
      <w:pPr>
        <w:spacing w:after="200" w:line="320" w:lineRule="exact"/>
        <w:jc w:val="right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Одобрен:</w:t>
      </w:r>
    </w:p>
    <w:p w:rsidR="00BB1BB1" w:rsidRDefault="00BB1BB1" w:rsidP="00BB1BB1">
      <w:pPr>
        <w:spacing w:after="200" w:line="320" w:lineRule="exact"/>
        <w:ind w:left="4956" w:firstLine="708"/>
        <w:jc w:val="right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BB1BB1" w:rsidRPr="00BB1BB1" w:rsidRDefault="00BB1BB1" w:rsidP="00BB1BB1">
      <w:pPr>
        <w:spacing w:after="200" w:line="320" w:lineRule="exact"/>
        <w:ind w:left="4956" w:firstLine="708"/>
        <w:jc w:val="right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Силвия Рангелова – Ръководител на Програмния Оператор по програма Опазване на околната среда и климатични промени </w:t>
      </w: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E16DC7" w:rsidRPr="007309D7" w:rsidRDefault="00E16DC7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b/>
          <w:sz w:val="32"/>
          <w:szCs w:val="24"/>
          <w:lang w:val="bg-BG"/>
        </w:rPr>
      </w:pPr>
      <w:r w:rsidRPr="007309D7">
        <w:rPr>
          <w:rFonts w:ascii="Times New Roman" w:eastAsia="Calibri" w:hAnsi="Times New Roman" w:cs="Times New Roman"/>
          <w:b/>
          <w:sz w:val="32"/>
          <w:szCs w:val="24"/>
          <w:lang w:val="bg-BG"/>
        </w:rPr>
        <w:t>Фонд за двустранно сътрудничество на програмно ниво</w:t>
      </w:r>
    </w:p>
    <w:p w:rsidR="007E408C" w:rsidRDefault="00E16DC7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Покана за </w:t>
      </w:r>
      <w:r w:rsidR="0049029D"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>предефинирана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инициатива по фонда за двустранни отношения по програма „Опазване на околната среда и </w:t>
      </w:r>
      <w:r w:rsidR="00BB1BB1">
        <w:rPr>
          <w:rFonts w:ascii="Times New Roman" w:eastAsia="Calibri" w:hAnsi="Times New Roman" w:cs="Times New Roman"/>
          <w:sz w:val="24"/>
          <w:szCs w:val="24"/>
          <w:lang w:val="bg-BG"/>
        </w:rPr>
        <w:t>климатични промени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>” (BG ENVIRONMENT)</w:t>
      </w:r>
    </w:p>
    <w:p w:rsidR="007C2F54" w:rsidRDefault="007C2F54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Pr="00E16DC7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E408C" w:rsidRDefault="007E408C" w:rsidP="007E408C">
      <w:pPr>
        <w:pStyle w:val="ListParagraph"/>
        <w:numPr>
          <w:ilvl w:val="0"/>
          <w:numId w:val="4"/>
        </w:num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E408C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ВЪВЕДЕНИЕ </w:t>
      </w:r>
    </w:p>
    <w:p w:rsidR="00E16DC7" w:rsidRPr="00E16DC7" w:rsidRDefault="00E16DC7" w:rsidP="007C2F54">
      <w:pPr>
        <w:spacing w:after="200" w:line="320" w:lineRule="exact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>Цел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>та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на 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>тази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инициатив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>а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>е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засилване на сътрудничеството и подобряване на взаимоотношенията между България и Норвегия. </w:t>
      </w:r>
      <w:r w:rsidR="007309D7">
        <w:rPr>
          <w:rFonts w:ascii="Times New Roman" w:eastAsia="Calibri" w:hAnsi="Times New Roman" w:cs="Times New Roman"/>
          <w:sz w:val="24"/>
          <w:szCs w:val="24"/>
          <w:lang w:val="bg-BG"/>
        </w:rPr>
        <w:t>И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>зпълнението на дейности</w:t>
      </w:r>
      <w:r w:rsidR="007309D7">
        <w:rPr>
          <w:rFonts w:ascii="Times New Roman" w:eastAsia="Calibri" w:hAnsi="Times New Roman" w:cs="Times New Roman"/>
          <w:sz w:val="24"/>
          <w:szCs w:val="24"/>
          <w:lang w:val="bg-BG"/>
        </w:rPr>
        <w:t>те цели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увеличаване на стратегическото сътрудничество, 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>създаването на мрежа от специалисти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 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>обмен на з</w:t>
      </w:r>
      <w:r w:rsidR="00BB1BB1">
        <w:rPr>
          <w:rFonts w:ascii="Times New Roman" w:eastAsia="Calibri" w:hAnsi="Times New Roman" w:cs="Times New Roman"/>
          <w:sz w:val="24"/>
          <w:szCs w:val="24"/>
          <w:lang w:val="bg-BG"/>
        </w:rPr>
        <w:t>нания между Норвегия и България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</w:p>
    <w:p w:rsidR="00E16DC7" w:rsidRPr="00E16DC7" w:rsidRDefault="00E16DC7" w:rsidP="007C2F54">
      <w:pPr>
        <w:spacing w:after="200" w:line="320" w:lineRule="exact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Съгласно 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>одобрените промени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в Меморандума за разбирателство, подписан между Република България и държавите донори, се отпускат </w:t>
      </w:r>
      <w:r w:rsidR="00E96BBD">
        <w:rPr>
          <w:rFonts w:ascii="Times New Roman" w:eastAsia="Calibri" w:hAnsi="Times New Roman" w:cs="Times New Roman"/>
          <w:sz w:val="24"/>
          <w:szCs w:val="24"/>
          <w:lang w:val="en-US"/>
        </w:rPr>
        <w:t>787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E96BBD">
        <w:rPr>
          <w:rFonts w:ascii="Times New Roman" w:eastAsia="Calibri" w:hAnsi="Times New Roman" w:cs="Times New Roman"/>
          <w:sz w:val="24"/>
          <w:szCs w:val="24"/>
          <w:lang w:val="en-US"/>
        </w:rPr>
        <w:t>5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00 евро от програма „Опазване на околната среда и изменение на климата” (BG ENVIRONMENT) към фонда за двустранни отношения за изпълнение на двустранна </w:t>
      </w:r>
      <w:r w:rsidR="007309D7">
        <w:rPr>
          <w:rFonts w:ascii="Times New Roman" w:eastAsia="Calibri" w:hAnsi="Times New Roman" w:cs="Times New Roman"/>
          <w:sz w:val="24"/>
          <w:szCs w:val="24"/>
          <w:lang w:val="bg-BG"/>
        </w:rPr>
        <w:t>инициатива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на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програмата ниво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</w:p>
    <w:p w:rsidR="00E16DC7" w:rsidRPr="00E16DC7" w:rsidRDefault="00E16DC7" w:rsidP="00E16DC7">
      <w:pPr>
        <w:pStyle w:val="ListParagraph"/>
        <w:numPr>
          <w:ilvl w:val="0"/>
          <w:numId w:val="4"/>
        </w:num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Допустимост на кандидатите и партньорите.</w:t>
      </w:r>
    </w:p>
    <w:p w:rsidR="00E16DC7" w:rsidRPr="00E16DC7" w:rsidRDefault="00E16DC7" w:rsidP="007C2F54">
      <w:pPr>
        <w:spacing w:after="200" w:line="320" w:lineRule="exact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>Комитетът за сътрудничество по програма „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>Опазване на околната среда и климатични промени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“ одобри двустранната 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предефинирана 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инициатива за изпълнение на 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проект 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– </w:t>
      </w:r>
      <w:r w:rsidR="00E96BBD" w:rsidRPr="00E96BBD">
        <w:rPr>
          <w:rFonts w:ascii="Times New Roman" w:eastAsia="Calibri" w:hAnsi="Times New Roman" w:cs="Times New Roman"/>
          <w:sz w:val="24"/>
          <w:szCs w:val="24"/>
          <w:lang w:val="bg-BG"/>
        </w:rPr>
        <w:t>„SCIRENA II – Диагностичен анализ на морската околна среда в Черно море по отношение на военните действия на територията на Република Украйна“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>. Идентифицираният бенефициент е  Норвежкия институт за</w:t>
      </w:r>
      <w:r w:rsidR="00E96BB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E96BBD">
        <w:rPr>
          <w:rFonts w:ascii="Times New Roman" w:eastAsia="Calibri" w:hAnsi="Times New Roman" w:cs="Times New Roman"/>
          <w:sz w:val="24"/>
          <w:szCs w:val="24"/>
          <w:lang w:val="bg-BG"/>
        </w:rPr>
        <w:t>морски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изследван</w:t>
      </w:r>
      <w:r w:rsidR="00E96BBD">
        <w:rPr>
          <w:rFonts w:ascii="Times New Roman" w:eastAsia="Calibri" w:hAnsi="Times New Roman" w:cs="Times New Roman"/>
          <w:sz w:val="24"/>
          <w:szCs w:val="24"/>
          <w:lang w:val="bg-BG"/>
        </w:rPr>
        <w:t>ия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(</w:t>
      </w:r>
      <w:r w:rsidR="00E96BB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IMR) </w:t>
      </w:r>
      <w:r w:rsidR="00E96BBD">
        <w:rPr>
          <w:rFonts w:ascii="Times New Roman" w:eastAsia="Calibri" w:hAnsi="Times New Roman" w:cs="Times New Roman"/>
          <w:sz w:val="24"/>
          <w:szCs w:val="24"/>
          <w:lang w:val="bg-BG"/>
        </w:rPr>
        <w:t>а партньори БДЧР и ВВМУ „Никола Вапцаров“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</w:p>
    <w:p w:rsidR="003022CE" w:rsidRDefault="003022CE" w:rsidP="003022C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022CE" w:rsidRPr="003022CE" w:rsidRDefault="003022CE" w:rsidP="003022CE">
      <w:pPr>
        <w:pStyle w:val="ListParagraph"/>
        <w:numPr>
          <w:ilvl w:val="0"/>
          <w:numId w:val="4"/>
        </w:num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>Размер на безвъзмездната помощ:</w:t>
      </w:r>
    </w:p>
    <w:p w:rsidR="003022CE" w:rsidRPr="003022CE" w:rsidRDefault="003022CE" w:rsidP="005A0EF7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Общият допустим бюджет съгласно тази </w:t>
      </w:r>
      <w:r w:rsidR="005A0EF7">
        <w:rPr>
          <w:rFonts w:ascii="Times New Roman" w:eastAsia="Calibri" w:hAnsi="Times New Roman" w:cs="Times New Roman"/>
          <w:sz w:val="24"/>
          <w:szCs w:val="24"/>
          <w:lang w:val="bg-BG"/>
        </w:rPr>
        <w:t>покана</w:t>
      </w: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е </w:t>
      </w:r>
      <w:r w:rsidR="005A0EF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в размер на </w:t>
      </w:r>
      <w:r w:rsidR="00E96BBD" w:rsidRPr="00E96BBD">
        <w:rPr>
          <w:rFonts w:ascii="Times New Roman" w:eastAsia="Calibri" w:hAnsi="Times New Roman" w:cs="Times New Roman"/>
          <w:sz w:val="24"/>
          <w:szCs w:val="24"/>
          <w:lang w:val="bg-BG"/>
        </w:rPr>
        <w:t>787 500</w:t>
      </w: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евро.</w:t>
      </w:r>
    </w:p>
    <w:p w:rsidR="003022CE" w:rsidRDefault="003022CE" w:rsidP="003022CE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Крайната дата за допустимост на разходите по Фонда за двустранни отношения е 30 април 2025 г.</w:t>
      </w:r>
    </w:p>
    <w:p w:rsidR="005A0EF7" w:rsidRPr="003022CE" w:rsidRDefault="005A0EF7" w:rsidP="003022CE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3022CE" w:rsidRPr="003022CE" w:rsidRDefault="003022CE" w:rsidP="003022CE">
      <w:pPr>
        <w:pStyle w:val="ListParagraph"/>
        <w:numPr>
          <w:ilvl w:val="0"/>
          <w:numId w:val="4"/>
        </w:num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Допустими разходи и дейности по фонда за двустранни отношения:</w:t>
      </w:r>
    </w:p>
    <w:p w:rsidR="004A4F8E" w:rsidRPr="004A4F8E" w:rsidRDefault="003022CE" w:rsidP="003022CE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1. </w:t>
      </w:r>
      <w:r w:rsidR="004A4F8E">
        <w:rPr>
          <w:rFonts w:ascii="Times New Roman" w:eastAsia="Calibri" w:hAnsi="Times New Roman" w:cs="Times New Roman"/>
          <w:sz w:val="24"/>
          <w:szCs w:val="24"/>
          <w:lang w:val="bg-BG"/>
        </w:rPr>
        <w:t>Допустими разходи</w:t>
      </w:r>
    </w:p>
    <w:p w:rsidR="003022CE" w:rsidRPr="003022CE" w:rsidRDefault="003022CE" w:rsidP="003022CE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Разходите, свързани със следните дейности, са допустими за фонда, посочен </w:t>
      </w:r>
      <w:r w:rsidR="00696F6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чл. </w:t>
      </w:r>
      <w:r w:rsidR="00987571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4.6. от Регламента за изпълнение на Норвежки финансов механизъм 2014-2021 (Регламента) и чл. </w:t>
      </w:r>
      <w:r w:rsidR="00696F6C">
        <w:rPr>
          <w:rFonts w:ascii="Times New Roman" w:eastAsia="Calibri" w:hAnsi="Times New Roman" w:cs="Times New Roman"/>
          <w:sz w:val="24"/>
          <w:szCs w:val="24"/>
          <w:lang w:val="bg-BG"/>
        </w:rPr>
        <w:t>8.8 от Регламент за изпълнението на ФМ на ЕИП 2014-2021</w:t>
      </w: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:</w:t>
      </w:r>
    </w:p>
    <w:p w:rsidR="003022CE" w:rsidRPr="003022CE" w:rsidRDefault="003022CE" w:rsidP="003022CE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- дейности, насочени към укрепване на двустранните отношения между България и Норвегия;</w:t>
      </w:r>
    </w:p>
    <w:p w:rsidR="003022CE" w:rsidRPr="003022CE" w:rsidRDefault="003022CE" w:rsidP="003022CE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- обмен, споделяне и трансфер на знания, технологии, опит и добри практики в България и субекти в Норвегия и/или международни организации;</w:t>
      </w:r>
    </w:p>
    <w:p w:rsidR="003022CE" w:rsidRDefault="003022CE" w:rsidP="003022CE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- дейности, насочени към укрепване на сътрудничеството и обмяна на опит и добри практики между програмните оператори и подобни субекти в България и Норвегия, както и международни организации, при условие че поне един субект в Норвегия е включен в дейността.</w:t>
      </w:r>
    </w:p>
    <w:p w:rsidR="00985ECB" w:rsidRPr="00985ECB" w:rsidRDefault="00985EC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>За да бъдат допустими по Фонда за двустранни отношения, разходите трябва да са свързани с допустими дейности и да отговарят на следните изисквания:</w:t>
      </w:r>
    </w:p>
    <w:p w:rsidR="00985ECB" w:rsidRPr="00985ECB" w:rsidRDefault="00985EC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>• да бъдат направени и платени между първата и крайната дата на допустимост на Инициативата, както е посочено в Споразумението за изпълнение на Инициативата;</w:t>
      </w:r>
    </w:p>
    <w:p w:rsidR="00985ECB" w:rsidRPr="00985ECB" w:rsidRDefault="00985EC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>• да са свързани с предмета на Споразумението за изпълнение на инициативата и посочени в подробния бюджет на инициативата;</w:t>
      </w:r>
    </w:p>
    <w:p w:rsidR="00985ECB" w:rsidRPr="00985ECB" w:rsidRDefault="00985EC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>• да са пропорционални и необходими за изпълнението на Инициативата;</w:t>
      </w:r>
    </w:p>
    <w:p w:rsidR="00985ECB" w:rsidRPr="00985ECB" w:rsidRDefault="00985EC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>• да се използва с единствената цел за постигане на целта(ите) на Инициативата и нейния очакван(и) резултат(и), по начин, съвместим с принципите на икономичност, ефективност и ефикасност;</w:t>
      </w:r>
    </w:p>
    <w:p w:rsidR="00985ECB" w:rsidRPr="00985ECB" w:rsidRDefault="00985EC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>• да могат да бъдат идентифицирани</w:t>
      </w:r>
      <w:r w:rsidR="0049029D">
        <w:rPr>
          <w:rFonts w:ascii="Times New Roman" w:eastAsia="Calibri" w:hAnsi="Times New Roman" w:cs="Times New Roman"/>
          <w:sz w:val="24"/>
          <w:szCs w:val="24"/>
          <w:lang w:val="bg-BG"/>
        </w:rPr>
        <w:t>,</w:t>
      </w: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проверими и надлежно документирани, по-специално чрез записване в счетоводните регистри на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Бенефициента</w:t>
      </w: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>/Партньора и определени съгласно приложимите счетоводни стандарти на страната и съгласно общоприетите счетоводни принципи;</w:t>
      </w:r>
    </w:p>
    <w:p w:rsidR="00985ECB" w:rsidRPr="00985ECB" w:rsidRDefault="00985EC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• спазват изискванията на приложимото данъчно и социално законодателство. Разходите се считат за извършени, когато разходите са фактурирани, платени и обектът е доставен/извършен (в случай на услуги) в рамките на датите на допустимост. По изключение, разходите, за които е издадена фактура през последния месец на допустимост, също се считат за направени в рамките на датите на допустимост, ако разходите са платени в рамките на 30 дни от крайната дата за допустимост. Разходите, направени след тази крайна дата, не са допустими. Вътрешните счетоводни и одиторски процедури на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Бенефициент</w:t>
      </w: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>а/Партньорите трябва да позволяват директно съпоставяне на декларираните разходи по отношение на Инициативата със съответните счетоводни отчети и подкрепящи документи.</w:t>
      </w:r>
    </w:p>
    <w:p w:rsidR="00985ECB" w:rsidRDefault="00985EC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• Такси, пътни (включително дневни) и квартирни разходи, свързани с участие в конференции, семинари, курсове за обучение, семинари, учебни посещения. Пътните и дневните надбавки за експертите, участващи в Инициативата, са допустими, при условие че са в съответствие с обичайните практики на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Бенефициент</w:t>
      </w: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>а и партньорите относно пътните разходи и в съответствие със съответното национално законодателство и законодателството на държавите донори. Разходите за командировки на български участници в страната са съобразени с изискванията на Наредбата за командировките в страната в рамките на разрешения бюджет.</w:t>
      </w:r>
    </w:p>
    <w:p w:rsidR="00985ECB" w:rsidRDefault="00985EC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5ECB" w:rsidTr="001814FF">
        <w:tc>
          <w:tcPr>
            <w:tcW w:w="0" w:type="auto"/>
          </w:tcPr>
          <w:p w:rsidR="00985ECB" w:rsidRDefault="00985ECB" w:rsidP="00250C25">
            <w:pPr>
              <w:spacing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B51">
              <w:rPr>
                <w:rFonts w:ascii="Times New Roman" w:hAnsi="Times New Roman"/>
                <w:sz w:val="24"/>
                <w:szCs w:val="24"/>
              </w:rPr>
              <w:t>•</w:t>
            </w:r>
            <w:r w:rsidRPr="005E1B51">
              <w:rPr>
                <w:rFonts w:ascii="Times New Roman" w:hAnsi="Times New Roman"/>
                <w:sz w:val="24"/>
                <w:szCs w:val="24"/>
              </w:rPr>
              <w:tab/>
            </w:r>
            <w:r w:rsidR="0049029D" w:rsidRPr="00985ECB">
              <w:rPr>
                <w:rFonts w:ascii="Times New Roman" w:hAnsi="Times New Roman"/>
                <w:b/>
                <w:sz w:val="24"/>
                <w:szCs w:val="24"/>
              </w:rPr>
              <w:t>ВАЖНО!</w:t>
            </w:r>
            <w:r w:rsidRPr="00985E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D069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Общата сума на разходите за управление, </w:t>
            </w:r>
            <w:r w:rsidR="00250C2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</w:t>
            </w:r>
            <w:r w:rsidRPr="006D069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6D069B" w:rsidRPr="006D069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Бенефициент</w:t>
            </w:r>
            <w:r w:rsidRPr="006D069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а</w:t>
            </w:r>
            <w:r w:rsidR="00250C2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и</w:t>
            </w:r>
            <w:r w:rsidRPr="006D069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Партньора, не трябва да надвишава 10% от бюджета на проекта. Това са разходите за управленския екип, посочени в т.</w:t>
            </w:r>
            <w:r w:rsidR="006D069B" w:rsidRPr="006D069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Pr="006D069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I, към образеца на Бюджета, представен по време на кандидатстване, които са различни от „Разходи за възнаграждения на експерти“ в към същия образец на Бюджет. Последното се предвижда за експерти, участващи в изпълнението на проекта, които не са част от ръководния екип.</w:t>
            </w:r>
          </w:p>
        </w:tc>
      </w:tr>
    </w:tbl>
    <w:p w:rsidR="006D069B" w:rsidRDefault="006D069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250C25" w:rsidRPr="00250C25" w:rsidRDefault="00250C25" w:rsidP="00250C25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250C25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Проверка на искания за плащане</w:t>
      </w:r>
    </w:p>
    <w:p w:rsidR="00250C25" w:rsidRPr="00250C25" w:rsidRDefault="00250C25" w:rsidP="00250C25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250C25">
        <w:rPr>
          <w:rFonts w:ascii="Times New Roman" w:eastAsia="Calibri" w:hAnsi="Times New Roman" w:cs="Times New Roman"/>
          <w:sz w:val="24"/>
          <w:szCs w:val="24"/>
          <w:lang w:val="bg-BG"/>
        </w:rPr>
        <w:t>Исканията за плащане се верифицират от Н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КЗ</w:t>
      </w:r>
      <w:r w:rsidRPr="00250C25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външен верификатор</w:t>
      </w:r>
      <w:r w:rsidRPr="00250C2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в рамките на 20 работни дни от подаването на междинния/окончателен финансов отчет, придружен от всички необходими подкрепящи документи, посочени в точки 1-7 в глава V.6.3. от настоящите Насоки. Процесът на проверка ще се извършва на 6 месеца.</w:t>
      </w:r>
    </w:p>
    <w:p w:rsidR="00250C25" w:rsidRPr="00250C25" w:rsidRDefault="00250C25" w:rsidP="00250C25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250C25">
        <w:rPr>
          <w:rFonts w:ascii="Times New Roman" w:eastAsia="Calibri" w:hAnsi="Times New Roman" w:cs="Times New Roman"/>
          <w:b/>
          <w:sz w:val="24"/>
          <w:szCs w:val="24"/>
          <w:lang w:val="bg-BG"/>
        </w:rPr>
        <w:t>ВАЖНО! В случай, че е представен Одитен доклад, той не подлежи на проверка.</w:t>
      </w:r>
    </w:p>
    <w:p w:rsidR="004A4F8E" w:rsidRPr="00250C25" w:rsidRDefault="000673A0" w:rsidP="004A4F8E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2. </w:t>
      </w:r>
      <w:r w:rsidR="004A4F8E" w:rsidRPr="00250C25">
        <w:rPr>
          <w:rFonts w:ascii="Times New Roman" w:eastAsia="Calibri" w:hAnsi="Times New Roman" w:cs="Times New Roman"/>
          <w:sz w:val="24"/>
          <w:szCs w:val="24"/>
          <w:lang w:val="bg-BG"/>
        </w:rPr>
        <w:t>Допустими дейности</w:t>
      </w:r>
    </w:p>
    <w:p w:rsidR="004A4F8E" w:rsidRPr="004A4F8E" w:rsidRDefault="004A4F8E" w:rsidP="004A4F8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-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съвместни конференции, семинари и работни срещи по теми от общ интерес;</w:t>
      </w:r>
    </w:p>
    <w:p w:rsidR="004A4F8E" w:rsidRPr="004A4F8E" w:rsidRDefault="004A4F8E" w:rsidP="004A4F8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-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изграждане на капацитет и краткосроч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но обучение с оглед на обмена и</w:t>
      </w:r>
      <w:r w:rsidR="00E86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прилагане на професионални или организационни умения;</w:t>
      </w:r>
    </w:p>
    <w:p w:rsidR="004A4F8E" w:rsidRPr="004A4F8E" w:rsidRDefault="004A4F8E" w:rsidP="004A4F8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-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техническо сътрудничество - учебни пътувания, посещения и срещи с цел споделяне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опит и ноу-хау, вкл. чрез обмен на експерти;</w:t>
      </w:r>
    </w:p>
    <w:p w:rsidR="004A4F8E" w:rsidRPr="004A4F8E" w:rsidRDefault="004A4F8E" w:rsidP="004A4F8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-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съвместно разработени доклади, анализи, проучвания, проучвания и публикации, данни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колекция;</w:t>
      </w:r>
    </w:p>
    <w:p w:rsidR="004A4F8E" w:rsidRPr="004A4F8E" w:rsidRDefault="004A4F8E" w:rsidP="004A4F8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-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информационни кампании, изложби, промоц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ионални събития и инициативи за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укрепване на двустранните партньорства;</w:t>
      </w:r>
    </w:p>
    <w:p w:rsidR="000673A0" w:rsidRDefault="004A4F8E" w:rsidP="004A4F8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-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разработване на уеб/дигитални платформи и уеб сайтове за популяризи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ране на проекта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дейности и подобряване на обмена на комуникация.</w:t>
      </w:r>
    </w:p>
    <w:p w:rsidR="004A4F8E" w:rsidRDefault="004A4F8E" w:rsidP="004A4F8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3. Недопустими дейности </w:t>
      </w:r>
    </w:p>
    <w:p w:rsidR="004A4F8E" w:rsidRPr="004A4F8E" w:rsidRDefault="004A4F8E" w:rsidP="004A4F8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Следните видове дейности са недопустими:</w:t>
      </w:r>
    </w:p>
    <w:p w:rsidR="004A4F8E" w:rsidRDefault="004A4F8E" w:rsidP="004A4F8E">
      <w:pPr>
        <w:pStyle w:val="ListParagraph"/>
        <w:numPr>
          <w:ilvl w:val="0"/>
          <w:numId w:val="5"/>
        </w:num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текущи дейности, вече финансирани от други източници;</w:t>
      </w:r>
    </w:p>
    <w:p w:rsidR="004A4F8E" w:rsidRDefault="004A4F8E" w:rsidP="004A4F8E">
      <w:pPr>
        <w:pStyle w:val="ListParagraph"/>
        <w:numPr>
          <w:ilvl w:val="0"/>
          <w:numId w:val="5"/>
        </w:num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спонсорство на физически лица за участие в работни срещи, семинари, конференции;</w:t>
      </w:r>
    </w:p>
    <w:p w:rsidR="004A4F8E" w:rsidRDefault="004A4F8E" w:rsidP="004A4F8E">
      <w:pPr>
        <w:pStyle w:val="ListParagraph"/>
        <w:numPr>
          <w:ilvl w:val="0"/>
          <w:numId w:val="5"/>
        </w:num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стипендии на лица за обучение или курсове за обучение;</w:t>
      </w:r>
    </w:p>
    <w:p w:rsidR="004A4F8E" w:rsidRPr="004A4F8E" w:rsidRDefault="004A4F8E" w:rsidP="004A4F8E">
      <w:pPr>
        <w:pStyle w:val="ListParagraph"/>
        <w:numPr>
          <w:ilvl w:val="0"/>
          <w:numId w:val="5"/>
        </w:num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съществуващи програми и редовни дейности на бенефициента/част</w:t>
      </w:r>
    </w:p>
    <w:p w:rsidR="003022CE" w:rsidRPr="003022CE" w:rsidRDefault="007E408C" w:rsidP="003022CE">
      <w:p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E408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V. </w:t>
      </w:r>
      <w:r w:rsid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>Индикативен срок:</w:t>
      </w:r>
    </w:p>
    <w:p w:rsidR="003022CE" w:rsidRPr="003022CE" w:rsidRDefault="003022CE" w:rsidP="003022CE">
      <w:p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Краен срок за подаване на </w:t>
      </w:r>
      <w:r w:rsidR="00696F6C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двустранната инициатива:</w:t>
      </w:r>
    </w:p>
    <w:p w:rsidR="00A4279A" w:rsidRPr="00A4279A" w:rsidRDefault="00A4279A" w:rsidP="00A4279A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4279A">
        <w:rPr>
          <w:rFonts w:ascii="Times New Roman" w:eastAsia="Calibri" w:hAnsi="Times New Roman" w:cs="Times New Roman"/>
          <w:sz w:val="24"/>
          <w:szCs w:val="24"/>
          <w:lang w:val="bg-BG"/>
        </w:rPr>
        <w:t>Краен срок за подаване – 15.01.2024 г.</w:t>
      </w:r>
    </w:p>
    <w:p w:rsidR="00A4279A" w:rsidRPr="00A4279A" w:rsidRDefault="00A4279A" w:rsidP="00A4279A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4279A">
        <w:rPr>
          <w:rFonts w:ascii="Times New Roman" w:eastAsia="Calibri" w:hAnsi="Times New Roman" w:cs="Times New Roman"/>
          <w:sz w:val="24"/>
          <w:szCs w:val="24"/>
          <w:lang w:val="bg-BG"/>
        </w:rPr>
        <w:t>Начало на процеса на оценяване – 16.01.2024 г.</w:t>
      </w:r>
    </w:p>
    <w:p w:rsidR="00A4279A" w:rsidRPr="00A4279A" w:rsidRDefault="00A4279A" w:rsidP="00A4279A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4279A">
        <w:rPr>
          <w:rFonts w:ascii="Times New Roman" w:eastAsia="Calibri" w:hAnsi="Times New Roman" w:cs="Times New Roman"/>
          <w:sz w:val="24"/>
          <w:szCs w:val="24"/>
          <w:lang w:val="bg-BG"/>
        </w:rPr>
        <w:t>Край на процеса на оценяване: 19.01.2024 г.</w:t>
      </w:r>
    </w:p>
    <w:p w:rsidR="003022CE" w:rsidRDefault="00A4279A" w:rsidP="00A4279A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4279A">
        <w:rPr>
          <w:rFonts w:ascii="Times New Roman" w:eastAsia="Calibri" w:hAnsi="Times New Roman" w:cs="Times New Roman"/>
          <w:sz w:val="24"/>
          <w:szCs w:val="24"/>
          <w:lang w:val="bg-BG"/>
        </w:rPr>
        <w:t>Стартиране на дейностите по инициативата: 22.01.2024 г.</w:t>
      </w:r>
      <w:bookmarkStart w:id="0" w:name="_GoBack"/>
      <w:bookmarkEnd w:id="0"/>
    </w:p>
    <w:p w:rsidR="00E86566" w:rsidRDefault="00E86566" w:rsidP="00E86566">
      <w:p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VI.</w:t>
      </w:r>
      <w:r w:rsidRPr="00E86566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Държавни помощи </w:t>
      </w:r>
    </w:p>
    <w:p w:rsidR="00E86566" w:rsidRPr="00E86566" w:rsidRDefault="00E86566" w:rsidP="00E86566">
      <w:pPr>
        <w:spacing w:after="200" w:line="32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E8656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Съгласно чл. 107, § 1 от Договора за функционирането на Европейския съюз (ДФЕС), „всяка помощ, предоставена от държава-членка или чрез ресурси на държава-членка под каквато и да е форма, която нарушава или заплашва да наруши конкуренцията чрез облагодетелстване на определени предприятия или производство на определени стоки, доколкото засяга търговията между държавите-членки, е несъвместим с вътрешния пазар“. Съгласно постоянната съдебна практика на Европейския съд и съгласно чл. 20, § 2 от Закона за държавните помощи, „Предприятие“ се дефинира като „всяко лице, извършващо икономическа дейност, независимо от правния му статут и начина, по който тя се финансира и всяка дейност, състояща се в предлагане на стоки и услуги на даден пазар, е икономическа дейност“. Във връзка с горепосоченото и като се вземат предвид конкретните дейности, допустими за финансиране по тази процедура, </w:t>
      </w:r>
      <w:r w:rsidR="00E96BBD">
        <w:rPr>
          <w:rFonts w:ascii="Times New Roman" w:eastAsia="Calibri" w:hAnsi="Times New Roman" w:cs="Times New Roman"/>
          <w:sz w:val="24"/>
          <w:szCs w:val="24"/>
          <w:lang w:val="bg-BG"/>
        </w:rPr>
        <w:t>кандидатстваща организация</w:t>
      </w:r>
      <w:r w:rsidRPr="00E8656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– Норвежкият институт за </w:t>
      </w:r>
      <w:r w:rsidR="00E96BBD">
        <w:rPr>
          <w:rFonts w:ascii="Times New Roman" w:eastAsia="Calibri" w:hAnsi="Times New Roman" w:cs="Times New Roman"/>
          <w:sz w:val="24"/>
          <w:szCs w:val="24"/>
          <w:lang w:val="bg-BG"/>
        </w:rPr>
        <w:t>морски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изследвания</w:t>
      </w:r>
      <w:r w:rsidRPr="00E8656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(</w:t>
      </w:r>
      <w:r w:rsidR="00E96BBD">
        <w:rPr>
          <w:rFonts w:ascii="Times New Roman" w:eastAsia="Calibri" w:hAnsi="Times New Roman" w:cs="Times New Roman"/>
          <w:sz w:val="24"/>
          <w:szCs w:val="24"/>
          <w:lang w:val="en-US"/>
        </w:rPr>
        <w:t>IMR</w:t>
      </w:r>
      <w:r w:rsidRPr="00E86566">
        <w:rPr>
          <w:rFonts w:ascii="Times New Roman" w:eastAsia="Calibri" w:hAnsi="Times New Roman" w:cs="Times New Roman"/>
          <w:sz w:val="24"/>
          <w:szCs w:val="24"/>
          <w:lang w:val="bg-BG"/>
        </w:rPr>
        <w:t>)</w:t>
      </w:r>
      <w:r w:rsidR="00E96BB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E96BBD">
        <w:rPr>
          <w:rFonts w:ascii="Times New Roman" w:eastAsia="Calibri" w:hAnsi="Times New Roman" w:cs="Times New Roman"/>
          <w:sz w:val="24"/>
          <w:szCs w:val="24"/>
          <w:lang w:val="bg-BG"/>
        </w:rPr>
        <w:t>и партньори БДЧР и ВВМУ „Никола Вапцаров“</w:t>
      </w:r>
      <w:r w:rsidRPr="00E8656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, и </w:t>
      </w:r>
      <w:r w:rsidR="00E96BBD">
        <w:rPr>
          <w:rFonts w:ascii="Times New Roman" w:eastAsia="Calibri" w:hAnsi="Times New Roman" w:cs="Times New Roman"/>
          <w:sz w:val="24"/>
          <w:szCs w:val="24"/>
          <w:lang w:val="bg-BG"/>
        </w:rPr>
        <w:t>три</w:t>
      </w:r>
      <w:r w:rsidRPr="00E86566">
        <w:rPr>
          <w:rFonts w:ascii="Times New Roman" w:eastAsia="Calibri" w:hAnsi="Times New Roman" w:cs="Times New Roman"/>
          <w:sz w:val="24"/>
          <w:szCs w:val="24"/>
          <w:lang w:val="bg-BG"/>
        </w:rPr>
        <w:t>те юридически лица, няма да действат като предприятия по смисъла на чл. 107, § 1 ДФЕС, тъй като изпълнението на дейностите по проекта не е свързано с предоставяне на стоки и услуги и няма да представлява стопанска дейност. Предварително дефинираната инициатива няма да генерира печалба и в това отношение правилата за държавна помощ са неприложими.</w:t>
      </w:r>
    </w:p>
    <w:p w:rsidR="003022CE" w:rsidRPr="003022CE" w:rsidRDefault="007E408C" w:rsidP="003022CE">
      <w:p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E408C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 w:rsidR="006D069B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7E408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. </w:t>
      </w:r>
      <w:r w:rsidR="003022CE"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Подаване на формуляра за кандидатстване.</w:t>
      </w:r>
    </w:p>
    <w:p w:rsidR="003022CE" w:rsidRPr="003022CE" w:rsidRDefault="003022CE" w:rsidP="00696F6C">
      <w:pPr>
        <w:spacing w:after="200" w:line="32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Кандидатът </w:t>
      </w:r>
      <w:r w:rsidR="00696F6C">
        <w:rPr>
          <w:rFonts w:ascii="Times New Roman" w:eastAsia="Calibri" w:hAnsi="Times New Roman" w:cs="Times New Roman"/>
          <w:sz w:val="24"/>
          <w:szCs w:val="24"/>
          <w:lang w:val="bg-BG"/>
        </w:rPr>
        <w:t>следва</w:t>
      </w: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да подаде формуляра за кандидатстване (Приложение 1) на английски език. Формулярите за кандидатстване за двустранни инициативи се подават на следния имейл: </w:t>
      </w:r>
      <w:hyperlink r:id="rId8" w:history="1">
        <w:r w:rsidR="00E96BBD" w:rsidRPr="00C919BA">
          <w:rPr>
            <w:rStyle w:val="Hyperlink"/>
            <w:rFonts w:ascii="Times New Roman" w:eastAsia="Calibri" w:hAnsi="Times New Roman" w:cs="Times New Roman"/>
            <w:sz w:val="24"/>
            <w:szCs w:val="24"/>
            <w:lang w:val="bg-BG"/>
          </w:rPr>
          <w:t>eea@moew.government.bg</w:t>
        </w:r>
      </w:hyperlink>
      <w:r w:rsidR="00E96BB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Приложено към формулярите за кандидатстване кандидатът трябва да представи писмо за намерение, кореспонденция по електронна поща или друг документ/кореспонденция, доказващ, че кандидатът е установил контакт с партньор по проекта.</w:t>
      </w:r>
    </w:p>
    <w:p w:rsidR="003022CE" w:rsidRPr="003022CE" w:rsidRDefault="003022CE" w:rsidP="003022CE">
      <w:p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>VII</w:t>
      </w:r>
      <w:r w:rsidR="006D069B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>. Процедура за подбор:</w:t>
      </w:r>
    </w:p>
    <w:p w:rsidR="003022CE" w:rsidRPr="003022CE" w:rsidRDefault="003022CE" w:rsidP="00696F6C">
      <w:pPr>
        <w:spacing w:after="200" w:line="32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Получената в рамките на срока двустранна инициатива ще бъде оценена въз основа на критериите за административно съответствие и допустимост и техническа и финансова оценка.</w:t>
      </w:r>
    </w:p>
    <w:p w:rsidR="003022CE" w:rsidRPr="003022CE" w:rsidRDefault="003022CE" w:rsidP="003022CE">
      <w:p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Ако кандидатът не отговаря на всички формални критерии и всички критерии за допустимост ще </w:t>
      </w:r>
      <w:r w:rsidRPr="0049029D">
        <w:rPr>
          <w:rFonts w:ascii="Times New Roman" w:eastAsia="Calibri" w:hAnsi="Times New Roman" w:cs="Times New Roman"/>
          <w:b/>
          <w:sz w:val="24"/>
          <w:szCs w:val="24"/>
          <w:lang w:val="bg-BG"/>
        </w:rPr>
        <w:t>бъд</w:t>
      </w:r>
      <w:r w:rsidR="0049029D" w:rsidRPr="0049029D">
        <w:rPr>
          <w:rFonts w:ascii="Times New Roman" w:eastAsia="Calibri" w:hAnsi="Times New Roman" w:cs="Times New Roman"/>
          <w:b/>
          <w:sz w:val="24"/>
          <w:szCs w:val="24"/>
          <w:lang w:val="bg-BG"/>
        </w:rPr>
        <w:t>е</w:t>
      </w:r>
      <w:r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отхвърлен.</w:t>
      </w:r>
    </w:p>
    <w:p w:rsidR="007E408C" w:rsidRPr="007E408C" w:rsidRDefault="007E408C" w:rsidP="003022C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E408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TableGrid"/>
        <w:tblW w:w="9666" w:type="dxa"/>
        <w:tblLook w:val="04A0" w:firstRow="1" w:lastRow="0" w:firstColumn="1" w:lastColumn="0" w:noHBand="0" w:noVBand="1"/>
      </w:tblPr>
      <w:tblGrid>
        <w:gridCol w:w="817"/>
        <w:gridCol w:w="6833"/>
        <w:gridCol w:w="2016"/>
      </w:tblGrid>
      <w:tr w:rsidR="00E01D62" w:rsidRPr="004A4F8E" w:rsidTr="007E408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hideMark/>
          </w:tcPr>
          <w:p w:rsidR="007E408C" w:rsidRPr="004A4F8E" w:rsidRDefault="00E01D62" w:rsidP="007E408C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F8E">
              <w:rPr>
                <w:rFonts w:ascii="Times New Roman" w:hAnsi="Times New Roman"/>
                <w:sz w:val="24"/>
                <w:szCs w:val="24"/>
              </w:rPr>
              <w:t>ТАБЛИЦА ЗА АДМИНИСТРАТИВНО СЪОТВЕТСТВИЕ И ДОПУСТИМОСТ; ТЕХНИЧЕСКА И ФИНАНСОВА ОЦЕНКА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numPr>
                <w:ilvl w:val="0"/>
                <w:numId w:val="1"/>
              </w:numPr>
              <w:spacing w:after="120" w:line="320" w:lineRule="exact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E01D62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Кандидатът е допустим.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numPr>
                <w:ilvl w:val="0"/>
                <w:numId w:val="1"/>
              </w:numPr>
              <w:spacing w:after="120" w:line="320" w:lineRule="exact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7E408C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Потенциалният партньор/организация по проекта е допустим.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numPr>
                <w:ilvl w:val="0"/>
                <w:numId w:val="1"/>
              </w:numPr>
              <w:spacing w:after="120" w:line="320" w:lineRule="exact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E01D62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Формулярът за кандидатстване е получен в определения срок.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numPr>
                <w:ilvl w:val="0"/>
                <w:numId w:val="1"/>
              </w:numPr>
              <w:spacing w:after="120" w:line="320" w:lineRule="exact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7E408C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Използва се правилният образец – Формуляр за кандидатстване (Приложение 1.); Формулярът за кандидатстване е на английски език.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numPr>
                <w:ilvl w:val="0"/>
                <w:numId w:val="1"/>
              </w:numPr>
              <w:spacing w:after="120" w:line="320" w:lineRule="exact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E01D62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Представено е писмо за намерение/договор за партньорство, електронна кореспонденция или друг документ/кореспонденция, доказващ, че кандидатът е установил контакт с партньор; представените документи са на български/английски език.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numPr>
                <w:ilvl w:val="0"/>
                <w:numId w:val="1"/>
              </w:numPr>
              <w:spacing w:after="120" w:line="320" w:lineRule="exact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7E408C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Предвидените дейности са допустими.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numPr>
                <w:ilvl w:val="0"/>
                <w:numId w:val="1"/>
              </w:numPr>
              <w:spacing w:after="120" w:line="320" w:lineRule="exact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E01D62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Разходите са допустими.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numPr>
                <w:ilvl w:val="0"/>
                <w:numId w:val="1"/>
              </w:numPr>
              <w:spacing w:after="120" w:line="320" w:lineRule="exact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7E408C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Инициативата допринася за целите на Фонда за двустранни отношения, общата цел на Програма BG ENVIRONMENT</w:t>
            </w:r>
            <w:r w:rsidR="007E408C" w:rsidRPr="004A4F8E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62" w:rsidRPr="004A4F8E" w:rsidRDefault="00E01D62" w:rsidP="00E01D62">
            <w:pPr>
              <w:spacing w:after="120" w:line="32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9.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7E408C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Има връзка между дейностите и разходите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E01D62" w:rsidP="00E01D62">
            <w:pPr>
              <w:spacing w:after="120" w:line="32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10.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7E408C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Има подробна обосновка на бюджета/бюджетните редове.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</w:tbl>
    <w:p w:rsidR="007E408C" w:rsidRPr="007E408C" w:rsidRDefault="007E408C" w:rsidP="007E408C">
      <w:p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3022CE" w:rsidRPr="003022CE" w:rsidRDefault="006D069B" w:rsidP="006D069B">
      <w:pPr>
        <w:spacing w:after="200" w:line="320" w:lineRule="exac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IX</w:t>
      </w:r>
      <w:r w:rsidR="003022CE"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>. Придружаващи докуме</w:t>
      </w:r>
      <w:r w:rsidR="00FD4937">
        <w:rPr>
          <w:rFonts w:ascii="Times New Roman" w:eastAsia="Calibri" w:hAnsi="Times New Roman" w:cs="Times New Roman"/>
          <w:b/>
          <w:sz w:val="24"/>
          <w:szCs w:val="24"/>
          <w:lang w:val="bg-BG"/>
        </w:rPr>
        <w:t>нти преди подписване на договор</w:t>
      </w:r>
      <w:r w:rsidR="00FD4937">
        <w:rPr>
          <w:rFonts w:ascii="Times New Roman" w:eastAsia="Calibri" w:hAnsi="Times New Roman" w:cs="Times New Roman"/>
          <w:b/>
          <w:sz w:val="24"/>
          <w:szCs w:val="24"/>
          <w:lang w:val="en-US"/>
        </w:rPr>
        <w:t>/</w:t>
      </w:r>
      <w:r w:rsidR="00FD4937" w:rsidRPr="0049029D">
        <w:rPr>
          <w:rFonts w:ascii="Times New Roman" w:eastAsia="Calibri" w:hAnsi="Times New Roman" w:cs="Times New Roman"/>
          <w:b/>
          <w:sz w:val="24"/>
          <w:szCs w:val="24"/>
          <w:lang w:val="bg-BG"/>
        </w:rPr>
        <w:t>заповед</w:t>
      </w:r>
      <w:r w:rsidR="003022CE"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>:</w:t>
      </w:r>
    </w:p>
    <w:p w:rsidR="003022CE" w:rsidRPr="003022CE" w:rsidRDefault="003022CE" w:rsidP="003022CE">
      <w:pPr>
        <w:spacing w:after="200" w:line="320" w:lineRule="exact"/>
        <w:ind w:firstLine="993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en-US"/>
        </w:rPr>
        <w:t>1</w:t>
      </w: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. Преди подписването на договора</w:t>
      </w:r>
      <w:r w:rsidR="00FD4937">
        <w:rPr>
          <w:rFonts w:ascii="Times New Roman" w:eastAsia="Calibri" w:hAnsi="Times New Roman" w:cs="Times New Roman"/>
          <w:sz w:val="24"/>
          <w:szCs w:val="24"/>
          <w:lang w:val="bg-BG"/>
        </w:rPr>
        <w:t>/заповедта</w:t>
      </w: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кандидатът и партньорът следва да подпишат споразумение за партньорство, което описва подробно разпределението на дейностите и финансовите ангажименти между страните. В случай, че между страните по инициатива</w:t>
      </w:r>
      <w:r w:rsidR="00FD4937">
        <w:rPr>
          <w:rFonts w:ascii="Times New Roman" w:eastAsia="Calibri" w:hAnsi="Times New Roman" w:cs="Times New Roman"/>
          <w:sz w:val="24"/>
          <w:szCs w:val="24"/>
          <w:lang w:val="bg-BG"/>
        </w:rPr>
        <w:t>та</w:t>
      </w: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не възникнат финансови отношения, не е необходимо да се подписва договор за партньорство. В този случай страните подписват писмо за намерение;</w:t>
      </w:r>
    </w:p>
    <w:p w:rsidR="003022CE" w:rsidRPr="003022CE" w:rsidRDefault="003022CE" w:rsidP="003022CE">
      <w:pPr>
        <w:spacing w:after="200" w:line="320" w:lineRule="exact"/>
        <w:ind w:firstLine="993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1. Декларация за банкова сметка;</w:t>
      </w:r>
    </w:p>
    <w:p w:rsidR="003022CE" w:rsidRPr="003022CE" w:rsidRDefault="003022CE" w:rsidP="003022CE">
      <w:pPr>
        <w:spacing w:after="200" w:line="320" w:lineRule="exact"/>
        <w:ind w:firstLine="993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2. Декларация за ДДС обстоятелства;</w:t>
      </w:r>
    </w:p>
    <w:p w:rsidR="003022CE" w:rsidRDefault="003022CE" w:rsidP="003022CE">
      <w:pPr>
        <w:spacing w:after="200" w:line="320" w:lineRule="exact"/>
        <w:ind w:firstLine="993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3. Декларация за липса на двойно финансиране</w:t>
      </w:r>
    </w:p>
    <w:p w:rsidR="00987571" w:rsidRDefault="00987571" w:rsidP="00987571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>Документът за кандидатстване може да бъде намерен тук:</w:t>
      </w:r>
    </w:p>
    <w:p w:rsidR="00987571" w:rsidRPr="007E408C" w:rsidRDefault="00B223F0" w:rsidP="00987571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hyperlink r:id="rId9" w:history="1">
        <w:r w:rsidR="00987571" w:rsidRPr="007E408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https://www.eeagrants.bg/en/programs/environment-protection/documents</w:t>
        </w:r>
      </w:hyperlink>
    </w:p>
    <w:p w:rsidR="00987571" w:rsidRDefault="00987571" w:rsidP="00987571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6D069B" w:rsidRPr="006D069B" w:rsidRDefault="006D069B" w:rsidP="006D069B">
      <w:pPr>
        <w:spacing w:after="200" w:line="320" w:lineRule="exac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6D069B">
        <w:rPr>
          <w:rFonts w:ascii="Times New Roman" w:eastAsia="Calibri" w:hAnsi="Times New Roman" w:cs="Times New Roman"/>
          <w:b/>
          <w:sz w:val="24"/>
          <w:szCs w:val="24"/>
          <w:lang w:val="bg-BG"/>
        </w:rPr>
        <w:t>X. Спазване на изискванията за информация и публичност</w:t>
      </w:r>
    </w:p>
    <w:p w:rsidR="006D069B" w:rsidRPr="006D069B" w:rsidRDefault="006D069B" w:rsidP="006D069B">
      <w:pPr>
        <w:spacing w:after="200" w:line="320" w:lineRule="exact"/>
        <w:ind w:firstLine="993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6D069B">
        <w:rPr>
          <w:rFonts w:ascii="Times New Roman" w:eastAsia="Calibri" w:hAnsi="Times New Roman" w:cs="Times New Roman"/>
          <w:sz w:val="24"/>
          <w:szCs w:val="24"/>
          <w:lang w:val="bg-BG"/>
        </w:rPr>
        <w:t>Организаторът/Партньор</w:t>
      </w:r>
      <w:r w:rsidR="00E96BBD">
        <w:rPr>
          <w:rFonts w:ascii="Times New Roman" w:eastAsia="Calibri" w:hAnsi="Times New Roman" w:cs="Times New Roman"/>
          <w:sz w:val="24"/>
          <w:szCs w:val="24"/>
          <w:lang w:val="bg-BG"/>
        </w:rPr>
        <w:t>ите</w:t>
      </w:r>
      <w:r w:rsidRPr="006D069B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гарантира</w:t>
      </w:r>
      <w:r w:rsidR="00E96BBD">
        <w:rPr>
          <w:rFonts w:ascii="Times New Roman" w:eastAsia="Calibri" w:hAnsi="Times New Roman" w:cs="Times New Roman"/>
          <w:sz w:val="24"/>
          <w:szCs w:val="24"/>
          <w:lang w:val="bg-BG"/>
        </w:rPr>
        <w:t>т</w:t>
      </w:r>
      <w:r w:rsidRPr="006D069B">
        <w:rPr>
          <w:rFonts w:ascii="Times New Roman" w:eastAsia="Calibri" w:hAnsi="Times New Roman" w:cs="Times New Roman"/>
          <w:sz w:val="24"/>
          <w:szCs w:val="24"/>
          <w:lang w:val="bg-BG"/>
        </w:rPr>
        <w:t>, че информацията за одобрената инициатива се съобщава на обществеността по най-ефективния начин и че приносът на ФМ на ЕИП и НФМ 2014-2021 г. получава подходяща публичност. Като се има предвид специфичната насоченост на Фонда за двустранни отношения, е важно да се даде подходящ обхват на установените партньорства, съвместни дейности и резултати от сътрудничеството. Организаторът/Партньор</w:t>
      </w:r>
      <w:r w:rsidR="00E96BBD">
        <w:rPr>
          <w:rFonts w:ascii="Times New Roman" w:eastAsia="Calibri" w:hAnsi="Times New Roman" w:cs="Times New Roman"/>
          <w:sz w:val="24"/>
          <w:szCs w:val="24"/>
          <w:lang w:val="bg-BG"/>
        </w:rPr>
        <w:t>ите</w:t>
      </w:r>
      <w:r w:rsidRPr="006D069B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се позовава</w:t>
      </w:r>
      <w:r w:rsidR="00E96BBD">
        <w:rPr>
          <w:rFonts w:ascii="Times New Roman" w:eastAsia="Calibri" w:hAnsi="Times New Roman" w:cs="Times New Roman"/>
          <w:sz w:val="24"/>
          <w:szCs w:val="24"/>
          <w:lang w:val="bg-BG"/>
        </w:rPr>
        <w:t>т</w:t>
      </w:r>
      <w:r w:rsidRPr="006D069B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на „Изискванията за информация и публичност“ съгласно ФМ и НФМ на ЕИП 2014-2021, качени на уебсайта на </w:t>
      </w:r>
      <w:r w:rsidR="00987571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националното координационно звено </w:t>
      </w:r>
      <w:r w:rsidRPr="006D069B">
        <w:rPr>
          <w:rFonts w:ascii="Times New Roman" w:eastAsia="Calibri" w:hAnsi="Times New Roman" w:cs="Times New Roman"/>
          <w:sz w:val="24"/>
          <w:szCs w:val="24"/>
          <w:lang w:val="bg-BG"/>
        </w:rPr>
        <w:t>www.eeagrants.bg и приложени тук.</w:t>
      </w:r>
    </w:p>
    <w:p w:rsidR="006D069B" w:rsidRPr="006D069B" w:rsidRDefault="006D069B" w:rsidP="006D069B">
      <w:pPr>
        <w:spacing w:after="200" w:line="320" w:lineRule="exact"/>
        <w:ind w:firstLine="993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6D069B" w:rsidRPr="006D069B" w:rsidRDefault="006D069B" w:rsidP="006D069B">
      <w:pPr>
        <w:spacing w:after="200" w:line="320" w:lineRule="exac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6D069B">
        <w:rPr>
          <w:rFonts w:ascii="Times New Roman" w:eastAsia="Calibri" w:hAnsi="Times New Roman" w:cs="Times New Roman"/>
          <w:b/>
          <w:sz w:val="24"/>
          <w:szCs w:val="24"/>
          <w:lang w:val="bg-BG"/>
        </w:rPr>
        <w:t>XI. Нередности</w:t>
      </w:r>
    </w:p>
    <w:p w:rsidR="006D069B" w:rsidRDefault="006D069B" w:rsidP="006D069B">
      <w:pPr>
        <w:spacing w:after="200" w:line="320" w:lineRule="exact"/>
        <w:ind w:firstLine="993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6D069B">
        <w:rPr>
          <w:rFonts w:ascii="Times New Roman" w:eastAsia="Calibri" w:hAnsi="Times New Roman" w:cs="Times New Roman"/>
          <w:sz w:val="24"/>
          <w:szCs w:val="24"/>
          <w:lang w:val="bg-BG"/>
        </w:rPr>
        <w:t>Нередност означава всяко нарушение на правната рамка на ФМ и НФМ на ЕИП 2014-2021 г., Закона на Европейския съюз или националното законодателство, ако такова нарушение може да засегне или накърни някой етап от прилагането на ФМ и НФМ на ЕИП 2014-2021 г., в Република България, особено изпълнението и/или бюджета на програма, проект или други дейности, финансирани от ФМ на ЕИП и НФМ 2014-2021 (съгласно чл. 12.2 от Правилника). По отношение на „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ФДО</w:t>
      </w:r>
      <w:r w:rsidRPr="006D069B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се изисква незабавно да уведоми PO във всеки случай на съмнение за нередност. В случай на съмнение за сериозна нередност НЗЦ може да спре плащанията за дадена инициатива за необходимото време.</w:t>
      </w:r>
    </w:p>
    <w:sectPr w:rsidR="006D069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F54" w:rsidRDefault="007C2F54" w:rsidP="007C2F54">
      <w:pPr>
        <w:spacing w:after="0" w:line="240" w:lineRule="auto"/>
      </w:pPr>
      <w:r>
        <w:separator/>
      </w:r>
    </w:p>
  </w:endnote>
  <w:endnote w:type="continuationSeparator" w:id="0">
    <w:p w:rsidR="007C2F54" w:rsidRDefault="007C2F54" w:rsidP="007C2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F54" w:rsidRDefault="007C2F54" w:rsidP="007C2F54">
      <w:pPr>
        <w:spacing w:after="0" w:line="240" w:lineRule="auto"/>
      </w:pPr>
      <w:r>
        <w:separator/>
      </w:r>
    </w:p>
  </w:footnote>
  <w:footnote w:type="continuationSeparator" w:id="0">
    <w:p w:rsidR="007C2F54" w:rsidRDefault="007C2F54" w:rsidP="007C2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F54" w:rsidRPr="0049029D" w:rsidRDefault="007C2F54" w:rsidP="007C2F54">
    <w:pPr>
      <w:pStyle w:val="Header"/>
      <w:ind w:left="142"/>
      <w:jc w:val="center"/>
      <w:rPr>
        <w:rFonts w:ascii="Times New Roman" w:eastAsia="Calibri" w:hAnsi="Times New Roman" w:cs="Times New Roman"/>
        <w:noProof/>
        <w:color w:val="2E74B5" w:themeColor="accent1" w:themeShade="BF"/>
        <w:sz w:val="24"/>
        <w:szCs w:val="24"/>
        <w:lang w:val="en-US" w:eastAsia="en-GB"/>
      </w:rPr>
    </w:pPr>
    <w:r w:rsidRPr="0049029D">
      <w:rPr>
        <w:rFonts w:ascii="Times New Roman" w:hAnsi="Times New Roman" w:cs="Times New Roman"/>
        <w:color w:val="2E74B5" w:themeColor="accent1" w:themeShade="BF"/>
        <w:sz w:val="24"/>
        <w:szCs w:val="24"/>
      </w:rPr>
      <w:ptab w:relativeTo="margin" w:alignment="center" w:leader="none"/>
    </w:r>
    <w:r w:rsidRPr="0049029D">
      <w:rPr>
        <w:rFonts w:ascii="Times New Roman" w:eastAsia="Calibri" w:hAnsi="Times New Roman" w:cs="Times New Roman"/>
        <w:noProof/>
        <w:color w:val="2E74B5" w:themeColor="accent1" w:themeShade="BF"/>
        <w:sz w:val="24"/>
        <w:szCs w:val="24"/>
        <w:lang w:val="bg-BG" w:eastAsia="bg-BG"/>
      </w:rPr>
      <w:drawing>
        <wp:anchor distT="0" distB="0" distL="114300" distR="114300" simplePos="0" relativeHeight="251660288" behindDoc="0" locked="0" layoutInCell="1" allowOverlap="1" wp14:anchorId="247E4C26" wp14:editId="1C3C0781">
          <wp:simplePos x="0" y="0"/>
          <wp:positionH relativeFrom="column">
            <wp:posOffset>-367030</wp:posOffset>
          </wp:positionH>
          <wp:positionV relativeFrom="paragraph">
            <wp:posOffset>-3810</wp:posOffset>
          </wp:positionV>
          <wp:extent cx="817245" cy="572770"/>
          <wp:effectExtent l="0" t="0" r="190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9029D">
      <w:rPr>
        <w:rFonts w:ascii="Times New Roman" w:eastAsia="Calibri" w:hAnsi="Times New Roman" w:cs="Times New Roman"/>
        <w:noProof/>
        <w:color w:val="2E74B5" w:themeColor="accent1" w:themeShade="BF"/>
        <w:sz w:val="24"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1" wp14:anchorId="45F88E18" wp14:editId="6B700B54">
          <wp:simplePos x="0" y="0"/>
          <wp:positionH relativeFrom="column">
            <wp:posOffset>5319395</wp:posOffset>
          </wp:positionH>
          <wp:positionV relativeFrom="paragraph">
            <wp:posOffset>-3810</wp:posOffset>
          </wp:positionV>
          <wp:extent cx="666750" cy="60960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9029D">
      <w:rPr>
        <w:rFonts w:ascii="Times New Roman" w:hAnsi="Times New Roman" w:cs="Times New Roman"/>
        <w:color w:val="2E74B5" w:themeColor="accent1" w:themeShade="BF"/>
        <w:sz w:val="24"/>
        <w:szCs w:val="24"/>
        <w:lang w:val="bg-BG"/>
      </w:rPr>
      <w:t>П</w:t>
    </w:r>
    <w:r w:rsidR="0049029D" w:rsidRPr="0049029D">
      <w:rPr>
        <w:rFonts w:ascii="Times New Roman" w:hAnsi="Times New Roman" w:cs="Times New Roman"/>
        <w:color w:val="2E74B5" w:themeColor="accent1" w:themeShade="BF"/>
        <w:sz w:val="24"/>
        <w:szCs w:val="24"/>
        <w:lang w:val="bg-BG"/>
      </w:rPr>
      <w:t>рограма</w:t>
    </w:r>
    <w:r w:rsidRPr="0049029D">
      <w:rPr>
        <w:rFonts w:ascii="Times New Roman" w:hAnsi="Times New Roman" w:cs="Times New Roman"/>
        <w:color w:val="2E74B5" w:themeColor="accent1" w:themeShade="BF"/>
        <w:sz w:val="24"/>
        <w:szCs w:val="24"/>
        <w:lang w:val="bg-BG"/>
      </w:rPr>
      <w:t xml:space="preserve"> </w:t>
    </w:r>
    <w:r w:rsidR="0049029D" w:rsidRPr="0049029D">
      <w:rPr>
        <w:rFonts w:ascii="Times New Roman" w:hAnsi="Times New Roman" w:cs="Times New Roman"/>
        <w:color w:val="2E74B5" w:themeColor="accent1" w:themeShade="BF"/>
        <w:sz w:val="24"/>
        <w:szCs w:val="24"/>
        <w:lang w:val="bg-BG"/>
      </w:rPr>
      <w:t>„Опазване на околната среда и климатични промени“</w:t>
    </w:r>
  </w:p>
  <w:p w:rsidR="007C2F54" w:rsidRPr="0049029D" w:rsidRDefault="0049029D" w:rsidP="007C2F54">
    <w:pPr>
      <w:tabs>
        <w:tab w:val="center" w:pos="4703"/>
        <w:tab w:val="right" w:pos="9406"/>
      </w:tabs>
      <w:spacing w:after="200" w:line="276" w:lineRule="auto"/>
      <w:ind w:left="142"/>
      <w:jc w:val="center"/>
      <w:rPr>
        <w:rFonts w:ascii="Times New Roman" w:eastAsia="Calibri" w:hAnsi="Times New Roman" w:cs="Times New Roman"/>
        <w:noProof/>
        <w:color w:val="2E74B5" w:themeColor="accent1" w:themeShade="BF"/>
        <w:sz w:val="24"/>
        <w:szCs w:val="24"/>
        <w:lang w:val="bg-BG" w:eastAsia="en-GB"/>
      </w:rPr>
    </w:pPr>
    <w:r w:rsidRPr="0049029D">
      <w:rPr>
        <w:rFonts w:ascii="Times New Roman" w:eastAsia="Calibri" w:hAnsi="Times New Roman" w:cs="Times New Roman"/>
        <w:noProof/>
        <w:color w:val="2E74B5" w:themeColor="accent1" w:themeShade="BF"/>
        <w:sz w:val="24"/>
        <w:szCs w:val="24"/>
        <w:lang w:val="bg-BG" w:eastAsia="en-GB"/>
      </w:rPr>
      <w:t>На ФМ на ЕИП</w:t>
    </w:r>
    <w:r>
      <w:rPr>
        <w:rFonts w:ascii="Times New Roman" w:eastAsia="Calibri" w:hAnsi="Times New Roman" w:cs="Times New Roman"/>
        <w:noProof/>
        <w:color w:val="2E74B5" w:themeColor="accent1" w:themeShade="BF"/>
        <w:sz w:val="24"/>
        <w:szCs w:val="24"/>
        <w:lang w:val="bg-BG" w:eastAsia="en-GB"/>
      </w:rPr>
      <w:t xml:space="preserve"> 2014-2021</w:t>
    </w:r>
  </w:p>
  <w:p w:rsidR="007C2F54" w:rsidRDefault="007C2F54">
    <w:pPr>
      <w:pStyle w:val="Header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A5405"/>
    <w:multiLevelType w:val="hybridMultilevel"/>
    <w:tmpl w:val="23E0ACF2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222" w:hanging="360"/>
      </w:pPr>
    </w:lvl>
    <w:lvl w:ilvl="2" w:tplc="0402001B">
      <w:start w:val="1"/>
      <w:numFmt w:val="lowerRoman"/>
      <w:lvlText w:val="%3."/>
      <w:lvlJc w:val="right"/>
      <w:pPr>
        <w:ind w:left="1942" w:hanging="180"/>
      </w:pPr>
    </w:lvl>
    <w:lvl w:ilvl="3" w:tplc="0402000F">
      <w:start w:val="1"/>
      <w:numFmt w:val="decimal"/>
      <w:lvlText w:val="%4."/>
      <w:lvlJc w:val="left"/>
      <w:pPr>
        <w:ind w:left="2662" w:hanging="360"/>
      </w:pPr>
    </w:lvl>
    <w:lvl w:ilvl="4" w:tplc="04020019">
      <w:start w:val="1"/>
      <w:numFmt w:val="lowerLetter"/>
      <w:lvlText w:val="%5."/>
      <w:lvlJc w:val="left"/>
      <w:pPr>
        <w:ind w:left="3382" w:hanging="360"/>
      </w:pPr>
    </w:lvl>
    <w:lvl w:ilvl="5" w:tplc="0402001B">
      <w:start w:val="1"/>
      <w:numFmt w:val="lowerRoman"/>
      <w:lvlText w:val="%6."/>
      <w:lvlJc w:val="right"/>
      <w:pPr>
        <w:ind w:left="4102" w:hanging="180"/>
      </w:pPr>
    </w:lvl>
    <w:lvl w:ilvl="6" w:tplc="0402000F">
      <w:start w:val="1"/>
      <w:numFmt w:val="decimal"/>
      <w:lvlText w:val="%7."/>
      <w:lvlJc w:val="left"/>
      <w:pPr>
        <w:ind w:left="4822" w:hanging="360"/>
      </w:pPr>
    </w:lvl>
    <w:lvl w:ilvl="7" w:tplc="04020019">
      <w:start w:val="1"/>
      <w:numFmt w:val="lowerLetter"/>
      <w:lvlText w:val="%8."/>
      <w:lvlJc w:val="left"/>
      <w:pPr>
        <w:ind w:left="5542" w:hanging="360"/>
      </w:pPr>
    </w:lvl>
    <w:lvl w:ilvl="8" w:tplc="0402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A2A58E3"/>
    <w:multiLevelType w:val="hybridMultilevel"/>
    <w:tmpl w:val="D76E2C0A"/>
    <w:lvl w:ilvl="0" w:tplc="7E8C669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446B8"/>
    <w:multiLevelType w:val="hybridMultilevel"/>
    <w:tmpl w:val="8B887C78"/>
    <w:lvl w:ilvl="0" w:tplc="EBA00A5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B6546"/>
    <w:multiLevelType w:val="hybridMultilevel"/>
    <w:tmpl w:val="C1B834BC"/>
    <w:lvl w:ilvl="0" w:tplc="4C363B2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80694"/>
    <w:multiLevelType w:val="hybridMultilevel"/>
    <w:tmpl w:val="F65E408A"/>
    <w:lvl w:ilvl="0" w:tplc="04020013">
      <w:start w:val="1"/>
      <w:numFmt w:val="upperRoman"/>
      <w:lvlText w:val="%1."/>
      <w:lvlJc w:val="righ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08C"/>
    <w:rsid w:val="000673A0"/>
    <w:rsid w:val="00105AC6"/>
    <w:rsid w:val="001649BF"/>
    <w:rsid w:val="00250C25"/>
    <w:rsid w:val="002A4032"/>
    <w:rsid w:val="002E710A"/>
    <w:rsid w:val="003022CE"/>
    <w:rsid w:val="00334563"/>
    <w:rsid w:val="0049029D"/>
    <w:rsid w:val="004A4F8E"/>
    <w:rsid w:val="005A0EF7"/>
    <w:rsid w:val="00696F6C"/>
    <w:rsid w:val="006D069B"/>
    <w:rsid w:val="007309D7"/>
    <w:rsid w:val="007C2F54"/>
    <w:rsid w:val="007E408C"/>
    <w:rsid w:val="00985ECB"/>
    <w:rsid w:val="00987571"/>
    <w:rsid w:val="00A4279A"/>
    <w:rsid w:val="00B223F0"/>
    <w:rsid w:val="00BB1BB1"/>
    <w:rsid w:val="00CD20CE"/>
    <w:rsid w:val="00CE0144"/>
    <w:rsid w:val="00DC70F0"/>
    <w:rsid w:val="00E01D62"/>
    <w:rsid w:val="00E16DC7"/>
    <w:rsid w:val="00E86566"/>
    <w:rsid w:val="00E96BBD"/>
    <w:rsid w:val="00FD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DCC08908-6B35-475A-9A4B-2DCEB7A98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408C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40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F5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C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F54"/>
    <w:rPr>
      <w:lang w:val="en-GB"/>
    </w:rPr>
  </w:style>
  <w:style w:type="character" w:styleId="Hyperlink">
    <w:name w:val="Hyperlink"/>
    <w:basedOn w:val="DefaultParagraphFont"/>
    <w:uiPriority w:val="99"/>
    <w:unhideWhenUsed/>
    <w:rsid w:val="00E96BB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79A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5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ea@moew.government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eagrants.bg/en/programs/environment-protection/document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E2750-F794-4FF8-B79A-478AA2949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1233</TotalTime>
  <Pages>7</Pages>
  <Words>1800</Words>
  <Characters>10261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Zhasmina Dimitrova</dc:creator>
  <cp:keywords/>
  <dc:description/>
  <cp:lastModifiedBy>Petar Markov</cp:lastModifiedBy>
  <cp:revision>19</cp:revision>
  <cp:lastPrinted>2023-12-20T15:20:00Z</cp:lastPrinted>
  <dcterms:created xsi:type="dcterms:W3CDTF">2023-08-14T12:32:00Z</dcterms:created>
  <dcterms:modified xsi:type="dcterms:W3CDTF">2023-12-22T08:48:00Z</dcterms:modified>
</cp:coreProperties>
</file>